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934B9D"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3244D6">
        <w:rPr>
          <w:rFonts w:ascii="Times New Roman" w:hAnsi="Times New Roman"/>
          <w:sz w:val="28"/>
          <w:szCs w:val="28"/>
        </w:rPr>
        <w:t xml:space="preserve"> ПОСЕЛЕНИЯ</w:t>
      </w:r>
    </w:p>
    <w:p w:rsidR="00F7504A" w:rsidRPr="003244D6" w:rsidRDefault="00934B9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3244D6">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043B9B" w:rsidP="00F7504A">
      <w:pPr>
        <w:tabs>
          <w:tab w:val="left" w:pos="1172"/>
        </w:tabs>
        <w:ind w:firstLine="0"/>
        <w:rPr>
          <w:rFonts w:ascii="Times New Roman" w:hAnsi="Times New Roman"/>
        </w:rPr>
      </w:pPr>
      <w:r>
        <w:rPr>
          <w:rFonts w:ascii="Times New Roman" w:hAnsi="Times New Roman"/>
        </w:rPr>
        <w:t>«26» февраля 2024</w:t>
      </w:r>
      <w:r w:rsidR="00F7504A" w:rsidRPr="003244D6">
        <w:rPr>
          <w:rFonts w:ascii="Times New Roman" w:hAnsi="Times New Roman"/>
        </w:rPr>
        <w:t xml:space="preserve"> г.                          </w:t>
      </w:r>
      <w:r>
        <w:rPr>
          <w:rFonts w:ascii="Times New Roman" w:hAnsi="Times New Roman"/>
        </w:rPr>
        <w:t xml:space="preserve">            № 24</w:t>
      </w:r>
    </w:p>
    <w:p w:rsidR="00F7504A" w:rsidRPr="003244D6" w:rsidRDefault="00826C65" w:rsidP="00F7504A">
      <w:pPr>
        <w:ind w:firstLine="0"/>
        <w:rPr>
          <w:rFonts w:ascii="Times New Roman" w:hAnsi="Times New Roman"/>
        </w:rPr>
      </w:pPr>
      <w:r>
        <w:rPr>
          <w:rFonts w:ascii="Times New Roman" w:hAnsi="Times New Roman"/>
        </w:rPr>
        <w:t>с</w:t>
      </w:r>
      <w:r w:rsidR="00EC7795">
        <w:rPr>
          <w:rFonts w:ascii="Times New Roman" w:hAnsi="Times New Roman"/>
        </w:rPr>
        <w:t>. Новотроицкое</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934B9D" w:rsidRPr="00934B9D">
        <w:rPr>
          <w:rFonts w:ascii="Times New Roman" w:hAnsi="Times New Roman"/>
          <w:b/>
          <w:sz w:val="28"/>
          <w:szCs w:val="28"/>
        </w:rPr>
        <w:t xml:space="preserve">Новотроицкого сельского поселения Терновского муниципального района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043B9B">
        <w:rPr>
          <w:rFonts w:ascii="Times New Roman" w:hAnsi="Times New Roman"/>
          <w:sz w:val="28"/>
          <w:szCs w:val="28"/>
        </w:rPr>
        <w:t>21.12.2015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043B9B">
        <w:rPr>
          <w:rFonts w:ascii="Times New Roman" w:hAnsi="Times New Roman"/>
          <w:sz w:val="28"/>
          <w:szCs w:val="28"/>
        </w:rPr>
        <w:t>46</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043B9B">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Pr="003244D6">
        <w:rPr>
          <w:rFonts w:ascii="Times New Roman" w:hAnsi="Times New Roman"/>
          <w:sz w:val="28"/>
          <w:szCs w:val="28"/>
        </w:rPr>
        <w:t>»;</w:t>
      </w:r>
    </w:p>
    <w:p w:rsidR="00A71FC9" w:rsidRDefault="00043B9B" w:rsidP="00854EF6">
      <w:pPr>
        <w:rPr>
          <w:rFonts w:ascii="Times New Roman" w:hAnsi="Times New Roman"/>
          <w:sz w:val="28"/>
          <w:szCs w:val="28"/>
        </w:rPr>
      </w:pPr>
      <w:r>
        <w:rPr>
          <w:rFonts w:ascii="Times New Roman" w:hAnsi="Times New Roman"/>
          <w:sz w:val="28"/>
          <w:szCs w:val="28"/>
        </w:rPr>
        <w:t>- от 15.03.2016г. №22</w:t>
      </w:r>
      <w:r w:rsidR="00A71FC9" w:rsidRPr="003244D6">
        <w:rPr>
          <w:rFonts w:ascii="Times New Roman" w:hAnsi="Times New Roman"/>
          <w:sz w:val="28"/>
          <w:szCs w:val="28"/>
        </w:rPr>
        <w:t xml:space="preserve"> «О внесении изменений в постановление администрации </w:t>
      </w:r>
      <w:r w:rsidR="00934B9D" w:rsidRPr="00934B9D">
        <w:rPr>
          <w:rFonts w:ascii="Times New Roman" w:hAnsi="Times New Roman"/>
          <w:sz w:val="28"/>
          <w:szCs w:val="28"/>
        </w:rPr>
        <w:t>Новотроицкого сельского поселения Терновского муниципально</w:t>
      </w:r>
      <w:r w:rsidR="00934B9D">
        <w:rPr>
          <w:rFonts w:ascii="Times New Roman" w:hAnsi="Times New Roman"/>
          <w:sz w:val="28"/>
          <w:szCs w:val="28"/>
        </w:rPr>
        <w:t xml:space="preserve">го района </w:t>
      </w:r>
      <w:r w:rsidR="00A71FC9" w:rsidRPr="003244D6">
        <w:rPr>
          <w:rFonts w:ascii="Times New Roman" w:hAnsi="Times New Roman"/>
          <w:sz w:val="28"/>
          <w:szCs w:val="28"/>
        </w:rPr>
        <w:t>Воронежской области</w:t>
      </w:r>
      <w:r>
        <w:rPr>
          <w:rFonts w:ascii="Times New Roman" w:hAnsi="Times New Roman"/>
          <w:sz w:val="28"/>
          <w:szCs w:val="28"/>
        </w:rPr>
        <w:t xml:space="preserve"> от 21.12.2015 № 46</w:t>
      </w:r>
      <w:r w:rsidR="00A71FC9"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826C65">
        <w:rPr>
          <w:rFonts w:ascii="Times New Roman" w:hAnsi="Times New Roman"/>
          <w:sz w:val="28"/>
          <w:szCs w:val="28"/>
        </w:rPr>
        <w:t>»;</w:t>
      </w:r>
    </w:p>
    <w:p w:rsidR="00043B9B" w:rsidRPr="003244D6" w:rsidRDefault="00826C65" w:rsidP="00826C65">
      <w:pPr>
        <w:rPr>
          <w:rFonts w:ascii="Times New Roman" w:hAnsi="Times New Roman"/>
          <w:sz w:val="28"/>
          <w:szCs w:val="28"/>
        </w:rPr>
      </w:pPr>
      <w:r>
        <w:rPr>
          <w:rFonts w:ascii="Times New Roman" w:hAnsi="Times New Roman"/>
          <w:sz w:val="28"/>
          <w:szCs w:val="28"/>
        </w:rPr>
        <w:t>- от 01.03.2017г. №8</w:t>
      </w:r>
      <w:r w:rsidR="00043B9B" w:rsidRPr="003244D6">
        <w:rPr>
          <w:rFonts w:ascii="Times New Roman" w:hAnsi="Times New Roman"/>
          <w:sz w:val="28"/>
          <w:szCs w:val="28"/>
        </w:rPr>
        <w:t xml:space="preserve"> «О внесении изменений в постановление администрации </w:t>
      </w:r>
      <w:r w:rsidR="00043B9B" w:rsidRPr="00934B9D">
        <w:rPr>
          <w:rFonts w:ascii="Times New Roman" w:hAnsi="Times New Roman"/>
          <w:sz w:val="28"/>
          <w:szCs w:val="28"/>
        </w:rPr>
        <w:t>Новотроицкого сельского поселения Терновского муниципально</w:t>
      </w:r>
      <w:r w:rsidR="00043B9B">
        <w:rPr>
          <w:rFonts w:ascii="Times New Roman" w:hAnsi="Times New Roman"/>
          <w:sz w:val="28"/>
          <w:szCs w:val="28"/>
        </w:rPr>
        <w:t xml:space="preserve">го района </w:t>
      </w:r>
      <w:r w:rsidR="00043B9B" w:rsidRPr="003244D6">
        <w:rPr>
          <w:rFonts w:ascii="Times New Roman" w:hAnsi="Times New Roman"/>
          <w:sz w:val="28"/>
          <w:szCs w:val="28"/>
        </w:rPr>
        <w:t>Воронежской области</w:t>
      </w:r>
      <w:r w:rsidR="00043B9B">
        <w:rPr>
          <w:rFonts w:ascii="Times New Roman" w:hAnsi="Times New Roman"/>
          <w:sz w:val="28"/>
          <w:szCs w:val="28"/>
        </w:rPr>
        <w:t xml:space="preserve"> от 21.12.2015 № 46</w:t>
      </w:r>
      <w:r w:rsidR="00043B9B" w:rsidRPr="003244D6">
        <w:rPr>
          <w:rFonts w:ascii="Times New Roman" w:hAnsi="Times New Roman"/>
          <w:sz w:val="28"/>
          <w:szCs w:val="28"/>
        </w:rPr>
        <w:t xml:space="preserve"> «</w:t>
      </w:r>
      <w:r w:rsidR="00731A40">
        <w:rPr>
          <w:rFonts w:ascii="Times New Roman" w:hAnsi="Times New Roman"/>
          <w:sz w:val="28"/>
          <w:szCs w:val="28"/>
        </w:rPr>
        <w:t xml:space="preserve"> </w:t>
      </w:r>
      <w:r w:rsidR="00043B9B" w:rsidRPr="003244D6">
        <w:rPr>
          <w:rFonts w:ascii="Times New Roman" w:hAnsi="Times New Roman"/>
          <w:sz w:val="28"/>
          <w:szCs w:val="28"/>
        </w:rPr>
        <w:t>Об утверждении административного регламента по предоставлению Муниципальной услуги «</w:t>
      </w:r>
      <w:r w:rsidR="00043B9B" w:rsidRPr="002903E7">
        <w:rPr>
          <w:rFonts w:ascii="Times New Roman" w:hAnsi="Times New Roman"/>
          <w:color w:val="000000"/>
          <w:sz w:val="28"/>
          <w:szCs w:val="28"/>
        </w:rPr>
        <w:t xml:space="preserve">Установление </w:t>
      </w:r>
      <w:r w:rsidR="00043B9B">
        <w:rPr>
          <w:rFonts w:ascii="Times New Roman" w:hAnsi="Times New Roman"/>
          <w:color w:val="000000"/>
          <w:sz w:val="28"/>
          <w:szCs w:val="28"/>
        </w:rPr>
        <w:t xml:space="preserve">сервитута </w:t>
      </w:r>
      <w:r w:rsidR="00043B9B" w:rsidRPr="002903E7">
        <w:rPr>
          <w:rFonts w:ascii="Times New Roman" w:hAnsi="Times New Roman"/>
          <w:color w:val="000000"/>
          <w:sz w:val="28"/>
          <w:szCs w:val="28"/>
        </w:rPr>
        <w:t xml:space="preserve"> </w:t>
      </w:r>
      <w:r w:rsidR="00731A40">
        <w:rPr>
          <w:rFonts w:ascii="Times New Roman" w:hAnsi="Times New Roman"/>
          <w:color w:val="000000"/>
          <w:sz w:val="28"/>
          <w:szCs w:val="28"/>
        </w:rPr>
        <w:t xml:space="preserve">в отношении земельного участка, </w:t>
      </w:r>
      <w:r w:rsidR="00043B9B" w:rsidRPr="002903E7">
        <w:rPr>
          <w:rFonts w:ascii="Times New Roman" w:hAnsi="Times New Roman"/>
          <w:color w:val="000000"/>
          <w:sz w:val="28"/>
          <w:szCs w:val="28"/>
        </w:rPr>
        <w:t>находящегося в муниципальной собственности</w:t>
      </w:r>
      <w:r w:rsidR="00043B9B" w:rsidRPr="00615AD1">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w:t>
      </w:r>
      <w:r w:rsidR="00826C65">
        <w:rPr>
          <w:rFonts w:ascii="Times New Roman" w:hAnsi="Times New Roman"/>
          <w:sz w:val="28"/>
          <w:szCs w:val="28"/>
        </w:rPr>
        <w:t xml:space="preserve">ановление вступает в силу </w:t>
      </w:r>
      <w:proofErr w:type="gramStart"/>
      <w:r w:rsidR="00826C65">
        <w:rPr>
          <w:rFonts w:ascii="Times New Roman" w:hAnsi="Times New Roman"/>
          <w:sz w:val="28"/>
          <w:szCs w:val="28"/>
        </w:rPr>
        <w:t>с</w:t>
      </w:r>
      <w:proofErr w:type="gramEnd"/>
      <w:r w:rsidR="00826C65">
        <w:rPr>
          <w:rFonts w:ascii="Times New Roman" w:hAnsi="Times New Roman"/>
          <w:sz w:val="28"/>
          <w:szCs w:val="28"/>
        </w:rPr>
        <w:t xml:space="preserve"> даты</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934B9D" w:rsidRDefault="00934B9D" w:rsidP="00934B9D">
      <w:pPr>
        <w:rPr>
          <w:rFonts w:ascii="Times New Roman" w:hAnsi="Times New Roman"/>
          <w:sz w:val="28"/>
          <w:szCs w:val="28"/>
        </w:rPr>
      </w:pPr>
      <w:r>
        <w:rPr>
          <w:rFonts w:ascii="Times New Roman" w:hAnsi="Times New Roman"/>
          <w:sz w:val="28"/>
          <w:szCs w:val="28"/>
        </w:rPr>
        <w:t xml:space="preserve">Глава Новотроицкого </w:t>
      </w:r>
    </w:p>
    <w:p w:rsidR="00F7504A" w:rsidRPr="003244D6" w:rsidRDefault="00934B9D" w:rsidP="00934B9D">
      <w:pPr>
        <w:rPr>
          <w:rFonts w:ascii="Times New Roman" w:hAnsi="Times New Roman"/>
          <w:sz w:val="28"/>
          <w:szCs w:val="28"/>
        </w:rPr>
      </w:pPr>
      <w:r>
        <w:rPr>
          <w:rFonts w:ascii="Times New Roman" w:hAnsi="Times New Roman"/>
          <w:sz w:val="28"/>
          <w:szCs w:val="28"/>
        </w:rPr>
        <w:t>сельского поселения                                        В.А. Ковалев</w:t>
      </w:r>
    </w:p>
    <w:p w:rsidR="00BB0A84" w:rsidRPr="003244D6" w:rsidRDefault="00BB0A84" w:rsidP="00BB0A84">
      <w:pPr>
        <w:ind w:left="3969" w:firstLine="0"/>
        <w:rPr>
          <w:rFonts w:ascii="Times New Roman" w:hAnsi="Times New Roman"/>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934B9D" w:rsidP="00F7504A">
      <w:pPr>
        <w:ind w:left="5103" w:firstLine="0"/>
        <w:jc w:val="left"/>
        <w:rPr>
          <w:rFonts w:ascii="Times New Roman" w:hAnsi="Times New Roman"/>
          <w:sz w:val="28"/>
          <w:szCs w:val="28"/>
        </w:rPr>
      </w:pPr>
      <w:r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 xml:space="preserve">Воронежской области </w:t>
      </w:r>
    </w:p>
    <w:p w:rsidR="00F7504A" w:rsidRPr="003244D6" w:rsidRDefault="00826C65" w:rsidP="00F7504A">
      <w:pPr>
        <w:ind w:left="5103" w:firstLine="0"/>
        <w:jc w:val="left"/>
        <w:rPr>
          <w:rFonts w:ascii="Times New Roman" w:hAnsi="Times New Roman"/>
          <w:sz w:val="28"/>
          <w:szCs w:val="28"/>
        </w:rPr>
      </w:pPr>
      <w:r>
        <w:rPr>
          <w:rFonts w:ascii="Times New Roman" w:hAnsi="Times New Roman"/>
          <w:sz w:val="28"/>
          <w:szCs w:val="28"/>
        </w:rPr>
        <w:t xml:space="preserve"> от «26» февраля 2024</w:t>
      </w:r>
      <w:r w:rsidR="00582FEE" w:rsidRPr="003244D6">
        <w:rPr>
          <w:rFonts w:ascii="Times New Roman" w:hAnsi="Times New Roman"/>
          <w:sz w:val="28"/>
          <w:szCs w:val="28"/>
        </w:rPr>
        <w:t xml:space="preserve"> г.</w:t>
      </w:r>
      <w:r>
        <w:rPr>
          <w:rFonts w:ascii="Times New Roman" w:hAnsi="Times New Roman"/>
          <w:sz w:val="28"/>
          <w:szCs w:val="28"/>
        </w:rPr>
        <w:t xml:space="preserve"> № 24</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934B9D">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Pr="00114D8E">
        <w:rPr>
          <w:i w:val="0"/>
          <w:sz w:val="28"/>
          <w:szCs w:val="28"/>
        </w:rPr>
        <w:t>» на те</w:t>
      </w:r>
      <w:r w:rsidRPr="003244D6">
        <w:rPr>
          <w:i w:val="0"/>
          <w:sz w:val="28"/>
          <w:szCs w:val="28"/>
        </w:rPr>
        <w:t xml:space="preserve">рритории </w:t>
      </w:r>
      <w:r w:rsidR="00934B9D" w:rsidRPr="00934B9D">
        <w:rPr>
          <w:i w:val="0"/>
          <w:sz w:val="28"/>
          <w:szCs w:val="28"/>
        </w:rPr>
        <w:t xml:space="preserve">Новотроицкого сельского поселения Терновского муниципального района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934B9D" w:rsidRPr="00934B9D">
        <w:rPr>
          <w:rFonts w:ascii="Times New Roman" w:hAnsi="Times New Roman"/>
          <w:sz w:val="28"/>
          <w:szCs w:val="28"/>
        </w:rPr>
        <w:t>Новотроицкого сельского поселения Тер</w:t>
      </w:r>
      <w:r w:rsidR="00826C65">
        <w:rPr>
          <w:rFonts w:ascii="Times New Roman" w:hAnsi="Times New Roman"/>
          <w:sz w:val="28"/>
          <w:szCs w:val="28"/>
        </w:rPr>
        <w:t>новского муниципального района (http://</w:t>
      </w:r>
      <w:r w:rsidR="00826C65" w:rsidRPr="00826C65">
        <w:rPr>
          <w:rFonts w:ascii="Times New Roman" w:hAnsi="Times New Roman"/>
          <w:sz w:val="28"/>
          <w:szCs w:val="28"/>
        </w:rPr>
        <w:t xml:space="preserve">novotroickoe-r36.gosuslugi.ru)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w:t>
      </w:r>
      <w:proofErr w:type="gramEnd"/>
      <w:r w:rsidR="00D17876" w:rsidRPr="003244D6">
        <w:rPr>
          <w:rFonts w:ascii="Times New Roman" w:eastAsiaTheme="minorHAnsi" w:hAnsi="Times New Roman"/>
          <w:sz w:val="28"/>
          <w:szCs w:val="28"/>
          <w:lang w:eastAsia="en-US"/>
        </w:rPr>
        <w:t xml:space="preserve"> </w:t>
      </w:r>
      <w:proofErr w:type="gramStart"/>
      <w:r w:rsidR="00D17876" w:rsidRPr="003244D6">
        <w:rPr>
          <w:rFonts w:ascii="Times New Roman" w:eastAsiaTheme="minorHAnsi" w:hAnsi="Times New Roman"/>
          <w:sz w:val="28"/>
          <w:szCs w:val="28"/>
          <w:lang w:eastAsia="en-US"/>
        </w:rPr>
        <w:t>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 xml:space="preserve">и </w:t>
      </w:r>
      <w:proofErr w:type="gramStart"/>
      <w:r w:rsidRPr="003244D6">
        <w:rPr>
          <w:rFonts w:ascii="Times New Roman" w:hAnsi="Times New Roman"/>
          <w:sz w:val="28"/>
          <w:szCs w:val="28"/>
        </w:rPr>
        <w:t>сайте</w:t>
      </w:r>
      <w:proofErr w:type="gramEnd"/>
      <w:r w:rsidRPr="003244D6">
        <w:rPr>
          <w:rFonts w:ascii="Times New Roman" w:hAnsi="Times New Roman"/>
          <w:sz w:val="28"/>
          <w:szCs w:val="28"/>
        </w:rPr>
        <w:t xml:space="preserve">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выдержки из </w:t>
      </w:r>
      <w:proofErr w:type="gramStart"/>
      <w:r w:rsidRPr="003244D6">
        <w:rPr>
          <w:rFonts w:ascii="Times New Roman" w:hAnsi="Times New Roman"/>
          <w:sz w:val="28"/>
          <w:szCs w:val="28"/>
        </w:rPr>
        <w:t>нормативных</w:t>
      </w:r>
      <w:proofErr w:type="gramEnd"/>
      <w:r w:rsidRPr="003244D6">
        <w:rPr>
          <w:rFonts w:ascii="Times New Roman" w:hAnsi="Times New Roman"/>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proofErr w:type="gramStart"/>
      <w:r w:rsidRPr="003244D6">
        <w:rPr>
          <w:rFonts w:ascii="Times New Roman" w:hAnsi="Times New Roman"/>
          <w:sz w:val="28"/>
          <w:szCs w:val="28"/>
        </w:rPr>
        <w:t>сайте</w:t>
      </w:r>
      <w:proofErr w:type="gramEnd"/>
      <w:r w:rsidRPr="003244D6">
        <w:rPr>
          <w:rFonts w:ascii="Times New Roman" w:hAnsi="Times New Roman"/>
          <w:sz w:val="28"/>
          <w:szCs w:val="28"/>
        </w:rPr>
        <w:t xml:space="preserve">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0D015B" w:rsidRPr="000D015B">
        <w:rPr>
          <w:rFonts w:ascii="Times New Roman" w:hAnsi="Times New Roman"/>
          <w:sz w:val="28"/>
          <w:szCs w:val="28"/>
        </w:rPr>
        <w:t xml:space="preserve">Новотроицкого сельского поселения Терновского муниципального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826C65">
        <w:rPr>
          <w:rFonts w:ascii="Times New Roman" w:hAnsi="Times New Roman"/>
          <w:sz w:val="28"/>
          <w:szCs w:val="28"/>
        </w:rPr>
        <w:t>льным документом Администрации.</w:t>
      </w:r>
    </w:p>
    <w:p w:rsidR="00A86E94" w:rsidRPr="00826C65" w:rsidRDefault="005C5911" w:rsidP="00826C65">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826C65">
        <w:rPr>
          <w:rFonts w:ascii="Times New Roman" w:hAnsi="Times New Roman"/>
          <w:sz w:val="28"/>
          <w:szCs w:val="28"/>
        </w:rPr>
        <w:t>утвержденным постановлением</w:t>
      </w:r>
      <w:r w:rsidR="00826C65" w:rsidRPr="00D32BED">
        <w:rPr>
          <w:rFonts w:ascii="Times New Roman" w:hAnsi="Times New Roman"/>
          <w:sz w:val="28"/>
          <w:szCs w:val="28"/>
        </w:rPr>
        <w:t xml:space="preserve"> </w:t>
      </w:r>
      <w:r w:rsidR="00826C65">
        <w:rPr>
          <w:rFonts w:ascii="Times New Roman" w:hAnsi="Times New Roman"/>
          <w:sz w:val="28"/>
          <w:szCs w:val="28"/>
        </w:rPr>
        <w:t xml:space="preserve">администрации </w:t>
      </w:r>
      <w:r w:rsidR="00826C65" w:rsidRPr="00924F6C">
        <w:rPr>
          <w:rFonts w:ascii="Times New Roman" w:hAnsi="Times New Roman"/>
          <w:sz w:val="28"/>
          <w:szCs w:val="28"/>
        </w:rPr>
        <w:t xml:space="preserve">Новотроицкого сельского поселения Терновского </w:t>
      </w:r>
      <w:r w:rsidR="00826C65" w:rsidRPr="00D32BED">
        <w:rPr>
          <w:rFonts w:ascii="Times New Roman" w:hAnsi="Times New Roman"/>
          <w:sz w:val="28"/>
          <w:szCs w:val="28"/>
        </w:rPr>
        <w:t>муниципал</w:t>
      </w:r>
      <w:r w:rsidR="00826C65">
        <w:rPr>
          <w:rFonts w:ascii="Times New Roman" w:hAnsi="Times New Roman"/>
          <w:sz w:val="28"/>
          <w:szCs w:val="28"/>
        </w:rPr>
        <w:t xml:space="preserve">ьного района </w:t>
      </w:r>
      <w:r w:rsidR="00826C65" w:rsidRPr="00D32BED">
        <w:rPr>
          <w:rFonts w:ascii="Times New Roman" w:hAnsi="Times New Roman"/>
          <w:sz w:val="28"/>
          <w:szCs w:val="28"/>
        </w:rPr>
        <w:t xml:space="preserve"> Воронежской области</w:t>
      </w:r>
      <w:r w:rsidR="00826C65">
        <w:rPr>
          <w:rFonts w:ascii="Times New Roman" w:hAnsi="Times New Roman"/>
          <w:sz w:val="28"/>
          <w:szCs w:val="28"/>
        </w:rPr>
        <w:t xml:space="preserve"> </w:t>
      </w:r>
      <w:r w:rsidR="00826C65" w:rsidRPr="002E6EC1">
        <w:rPr>
          <w:rFonts w:ascii="Times New Roman" w:hAnsi="Times New Roman"/>
          <w:sz w:val="28"/>
          <w:szCs w:val="28"/>
        </w:rPr>
        <w:t xml:space="preserve"> «Об утверждении перечня муниципальных услуг, предоставляемых администрацией Новотроицкого сельского поселения Терновского  муниципально</w:t>
      </w:r>
      <w:r w:rsidR="00826C65">
        <w:rPr>
          <w:rFonts w:ascii="Times New Roman" w:hAnsi="Times New Roman"/>
          <w:sz w:val="28"/>
          <w:szCs w:val="28"/>
        </w:rPr>
        <w:t>го района  Воронежской области»</w:t>
      </w: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 xml:space="preserve">Заявитель может получить результат предоставления Муниципальной услуги на бумажном </w:t>
      </w:r>
      <w:proofErr w:type="gramStart"/>
      <w:r w:rsidRPr="003244D6">
        <w:rPr>
          <w:rFonts w:ascii="Times New Roman" w:hAnsi="Times New Roman"/>
          <w:sz w:val="28"/>
          <w:szCs w:val="28"/>
        </w:rPr>
        <w:t>носителе</w:t>
      </w:r>
      <w:proofErr w:type="gramEnd"/>
      <w:r w:rsidRPr="003244D6">
        <w:rPr>
          <w:rFonts w:ascii="Times New Roman" w:hAnsi="Times New Roman"/>
          <w:sz w:val="28"/>
          <w:szCs w:val="28"/>
        </w:rPr>
        <w:t>.</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lastRenderedPageBreak/>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w:t>
      </w:r>
      <w:proofErr w:type="gramStart"/>
      <w:r w:rsidRPr="003244D6">
        <w:rPr>
          <w:rFonts w:ascii="Times New Roman" w:hAnsi="Times New Roman" w:cs="Times New Roman"/>
          <w:sz w:val="28"/>
          <w:szCs w:val="28"/>
        </w:rPr>
        <w:t>Об</w:t>
      </w:r>
      <w:proofErr w:type="gramEnd"/>
      <w:r w:rsidRPr="003244D6">
        <w:rPr>
          <w:rFonts w:ascii="Times New Roman" w:hAnsi="Times New Roman" w:cs="Times New Roman"/>
          <w:sz w:val="28"/>
          <w:szCs w:val="28"/>
        </w:rPr>
        <w:t xml:space="preserve">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bookmarkStart w:id="1" w:name="_GoBack"/>
      <w:bookmarkEnd w:id="1"/>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history="1">
        <w:r w:rsidR="00542C63" w:rsidRPr="00542C63">
          <w:rPr>
            <w:rStyle w:val="af"/>
            <w:rFonts w:ascii="Times New Roman" w:hAnsi="Times New Roman"/>
            <w:sz w:val="28"/>
            <w:szCs w:val="28"/>
          </w:rPr>
          <w:t>https://novotroickoe-r20.gosweb.gosuslugi.ru/ofitsialno/munitsipalnye-uslugi/reglamenty/</w:t>
        </w:r>
      </w:hyperlink>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proofErr w:type="gramStart"/>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roofErr w:type="gramEnd"/>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w:t>
      </w:r>
      <w:proofErr w:type="gramStart"/>
      <w:r w:rsidR="004451D5" w:rsidRPr="003244D6">
        <w:rPr>
          <w:rFonts w:ascii="Times New Roman" w:hAnsi="Times New Roman"/>
          <w:sz w:val="28"/>
          <w:szCs w:val="28"/>
        </w:rPr>
        <w:t>носителе</w:t>
      </w:r>
      <w:proofErr w:type="gramEnd"/>
      <w:r w:rsidR="004451D5" w:rsidRPr="003244D6">
        <w:rPr>
          <w:rFonts w:ascii="Times New Roman" w:hAnsi="Times New Roman"/>
          <w:sz w:val="28"/>
          <w:szCs w:val="28"/>
        </w:rPr>
        <w:t xml:space="preserve"> в </w:t>
      </w:r>
      <w:r w:rsidR="00826C65">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w:t>
      </w:r>
      <w:r w:rsidR="004451D5" w:rsidRPr="00894116">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8F418B">
        <w:rPr>
          <w:rFonts w:ascii="Times New Roman" w:hAnsi="Times New Roman"/>
          <w:sz w:val="28"/>
          <w:szCs w:val="28"/>
        </w:rPr>
        <w:lastRenderedPageBreak/>
        <w:t>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r w:rsidRPr="008F418B">
        <w:rPr>
          <w:rFonts w:ascii="Times New Roman" w:hAnsi="Times New Roman"/>
          <w:sz w:val="28"/>
          <w:szCs w:val="28"/>
        </w:rPr>
        <w:lastRenderedPageBreak/>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w:t>
      </w:r>
      <w:r w:rsidR="00C82A2B" w:rsidRPr="003244D6">
        <w:rPr>
          <w:rFonts w:ascii="Times New Roman" w:hAnsi="Times New Roman"/>
          <w:b/>
          <w:sz w:val="28"/>
          <w:szCs w:val="28"/>
        </w:rPr>
        <w:lastRenderedPageBreak/>
        <w:t>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на бумажном </w:t>
      </w:r>
      <w:proofErr w:type="gramStart"/>
      <w:r w:rsidR="00F7504A" w:rsidRPr="003244D6">
        <w:rPr>
          <w:rFonts w:ascii="Times New Roman" w:hAnsi="Times New Roman"/>
          <w:sz w:val="28"/>
          <w:szCs w:val="28"/>
        </w:rPr>
        <w:t>носителе</w:t>
      </w:r>
      <w:proofErr w:type="gramEnd"/>
      <w:r w:rsidR="00F7504A" w:rsidRPr="003244D6">
        <w:rPr>
          <w:rFonts w:ascii="Times New Roman" w:hAnsi="Times New Roman"/>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Тексты материалов, размещенных на информационном </w:t>
      </w:r>
      <w:proofErr w:type="gramStart"/>
      <w:r w:rsidRPr="003244D6">
        <w:rPr>
          <w:rFonts w:ascii="Times New Roman" w:hAnsi="Times New Roman"/>
          <w:sz w:val="28"/>
          <w:szCs w:val="28"/>
        </w:rPr>
        <w:t>стенде</w:t>
      </w:r>
      <w:proofErr w:type="gramEnd"/>
      <w:r w:rsidRPr="003244D6">
        <w:rPr>
          <w:rFonts w:ascii="Times New Roman" w:hAnsi="Times New Roman"/>
          <w:sz w:val="28"/>
          <w:szCs w:val="28"/>
        </w:rPr>
        <w:t>,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w:t>
      </w:r>
      <w:proofErr w:type="gramStart"/>
      <w:r w:rsidR="00F7504A" w:rsidRPr="003244D6">
        <w:rPr>
          <w:rFonts w:ascii="Times New Roman" w:hAnsi="Times New Roman"/>
          <w:sz w:val="28"/>
          <w:szCs w:val="28"/>
        </w:rPr>
        <w:t>носителе</w:t>
      </w:r>
      <w:proofErr w:type="gramEnd"/>
      <w:r w:rsidR="00F7504A"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826C65"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w:t>
      </w:r>
      <w:proofErr w:type="gramStart"/>
      <w:r w:rsidR="00F7504A" w:rsidRPr="003244D6">
        <w:rPr>
          <w:rFonts w:ascii="Times New Roman" w:hAnsi="Times New Roman"/>
          <w:sz w:val="28"/>
          <w:szCs w:val="28"/>
        </w:rPr>
        <w:t>основании</w:t>
      </w:r>
      <w:proofErr w:type="gramEnd"/>
      <w:r w:rsidR="00F7504A" w:rsidRPr="003244D6">
        <w:rPr>
          <w:rFonts w:ascii="Times New Roman" w:hAnsi="Times New Roman"/>
          <w:sz w:val="28"/>
          <w:szCs w:val="28"/>
        </w:rPr>
        <w:t xml:space="preserve">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проставляет на </w:t>
      </w:r>
      <w:proofErr w:type="gramStart"/>
      <w:r w:rsidR="008A3962" w:rsidRPr="003244D6">
        <w:rPr>
          <w:rFonts w:ascii="Times New Roman" w:hAnsi="Times New Roman" w:cs="Times New Roman"/>
          <w:sz w:val="28"/>
          <w:szCs w:val="28"/>
        </w:rPr>
        <w:t>ходатайстве</w:t>
      </w:r>
      <w:proofErr w:type="gramEnd"/>
      <w:r w:rsidR="008A3962" w:rsidRPr="003244D6">
        <w:rPr>
          <w:rFonts w:ascii="Times New Roman" w:hAnsi="Times New Roman" w:cs="Times New Roman"/>
          <w:sz w:val="28"/>
          <w:szCs w:val="28"/>
        </w:rPr>
        <w:t xml:space="preserve">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проставляет на </w:t>
      </w:r>
      <w:proofErr w:type="gramStart"/>
      <w:r w:rsidR="008A3962" w:rsidRPr="00D776A0">
        <w:rPr>
          <w:rFonts w:ascii="Times New Roman" w:hAnsi="Times New Roman" w:cs="Times New Roman"/>
          <w:sz w:val="28"/>
          <w:szCs w:val="28"/>
        </w:rPr>
        <w:t>заявлении</w:t>
      </w:r>
      <w:proofErr w:type="gramEnd"/>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r w:rsidR="000D015B">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proofErr w:type="gramEnd"/>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w:t>
      </w:r>
      <w:proofErr w:type="gramStart"/>
      <w:r w:rsidR="0013797F" w:rsidRPr="0013797F">
        <w:rPr>
          <w:rFonts w:ascii="Times New Roman" w:hAnsi="Times New Roman"/>
          <w:sz w:val="28"/>
          <w:szCs w:val="28"/>
        </w:rPr>
        <w:t>формируется и направляется</w:t>
      </w:r>
      <w:proofErr w:type="gramEnd"/>
      <w:r w:rsidR="0013797F"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w:t>
      </w:r>
      <w:proofErr w:type="gramStart"/>
      <w:r w:rsidR="00F7504A" w:rsidRPr="003244D6">
        <w:rPr>
          <w:rFonts w:ascii="Times New Roman" w:hAnsi="Times New Roman"/>
          <w:sz w:val="28"/>
          <w:szCs w:val="28"/>
        </w:rPr>
        <w:t>основании</w:t>
      </w:r>
      <w:proofErr w:type="gramEnd"/>
      <w:r w:rsidR="00F7504A" w:rsidRPr="003244D6">
        <w:rPr>
          <w:rFonts w:ascii="Times New Roman" w:hAnsi="Times New Roman"/>
          <w:sz w:val="28"/>
          <w:szCs w:val="28"/>
        </w:rPr>
        <w:t xml:space="preserve">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253C8" w:rsidRPr="005253C8">
        <w:rPr>
          <w:rFonts w:ascii="Times New Roman" w:hAnsi="Times New Roman"/>
          <w:sz w:val="28"/>
          <w:szCs w:val="28"/>
        </w:rPr>
        <w:t xml:space="preserve">Новотроицкого сельского поселения Терновского муниципального района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253C8" w:rsidRPr="005253C8">
        <w:rPr>
          <w:rFonts w:ascii="Times New Roman" w:hAnsi="Times New Roman"/>
          <w:sz w:val="28"/>
          <w:szCs w:val="28"/>
        </w:rPr>
        <w:t xml:space="preserve">Новотроицкого сельского поселения Терновского муниципального района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w:t>
      </w:r>
      <w:proofErr w:type="gramStart"/>
      <w:r w:rsidRPr="00DC038E">
        <w:rPr>
          <w:rFonts w:ascii="Times New Roman" w:hAnsi="Times New Roman"/>
          <w:sz w:val="28"/>
          <w:szCs w:val="28"/>
        </w:rPr>
        <w:t>основании</w:t>
      </w:r>
      <w:proofErr w:type="gramEnd"/>
      <w:r w:rsidRPr="00DC038E">
        <w:rPr>
          <w:rFonts w:ascii="Times New Roman" w:hAnsi="Times New Roman"/>
          <w:sz w:val="28"/>
          <w:szCs w:val="28"/>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lastRenderedPageBreak/>
        <w:t xml:space="preserve">Перечень </w:t>
      </w:r>
      <w:proofErr w:type="gramStart"/>
      <w:r w:rsidRPr="00DC038E">
        <w:rPr>
          <w:rFonts w:ascii="Times New Roman" w:hAnsi="Times New Roman" w:cs="Times New Roman"/>
          <w:color w:val="auto"/>
          <w:sz w:val="28"/>
          <w:szCs w:val="28"/>
        </w:rPr>
        <w:t>нормативных</w:t>
      </w:r>
      <w:proofErr w:type="gramEnd"/>
      <w:r w:rsidRPr="00DC038E">
        <w:rPr>
          <w:rFonts w:ascii="Times New Roman" w:hAnsi="Times New Roman" w:cs="Times New Roman"/>
          <w:color w:val="auto"/>
          <w:sz w:val="28"/>
          <w:szCs w:val="28"/>
        </w:rPr>
        <w:t xml:space="preserve">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5253C8" w:rsidRDefault="005253C8" w:rsidP="006A230D">
      <w:pPr>
        <w:autoSpaceDE w:val="0"/>
        <w:autoSpaceDN w:val="0"/>
        <w:adjustRightInd w:val="0"/>
        <w:ind w:left="5103" w:firstLine="0"/>
        <w:rPr>
          <w:rFonts w:ascii="Times New Roman" w:hAnsi="Times New Roman"/>
          <w:bCs/>
        </w:rPr>
      </w:pPr>
    </w:p>
    <w:p w:rsidR="005253C8" w:rsidRDefault="005253C8" w:rsidP="006A230D">
      <w:pPr>
        <w:autoSpaceDE w:val="0"/>
        <w:autoSpaceDN w:val="0"/>
        <w:adjustRightInd w:val="0"/>
        <w:ind w:left="5103" w:firstLine="0"/>
        <w:rPr>
          <w:rFonts w:ascii="Times New Roman" w:hAnsi="Times New Roman"/>
          <w:bCs/>
        </w:rPr>
      </w:pPr>
    </w:p>
    <w:p w:rsidR="005253C8" w:rsidRDefault="005253C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w:t>
      </w:r>
      <w:r w:rsidRPr="003244D6">
        <w:rPr>
          <w:rFonts w:ascii="Times New Roman" w:hAnsi="Times New Roman" w:cs="Times New Roman"/>
          <w:sz w:val="24"/>
          <w:szCs w:val="24"/>
        </w:rPr>
        <w:lastRenderedPageBreak/>
        <w:t xml:space="preserve">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10. Обязанность обладателя публичного сервитута привести </w:t>
      </w:r>
      <w:proofErr w:type="gramStart"/>
      <w:r w:rsidRPr="003244D6">
        <w:rPr>
          <w:rFonts w:ascii="Times New Roman" w:hAnsi="Times New Roman" w:cs="Times New Roman"/>
          <w:sz w:val="24"/>
          <w:szCs w:val="24"/>
        </w:rPr>
        <w:t>земельный</w:t>
      </w:r>
      <w:proofErr w:type="gramEnd"/>
      <w:r w:rsidRPr="003244D6">
        <w:rPr>
          <w:rFonts w:ascii="Times New Roman" w:hAnsi="Times New Roman" w:cs="Times New Roman"/>
          <w:sz w:val="24"/>
          <w:szCs w:val="24"/>
        </w:rPr>
        <w:t xml:space="preserve">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Осуществление деятельности, для обеспечения которой испрашивается </w:t>
            </w:r>
            <w:r w:rsidRPr="003244D6">
              <w:rPr>
                <w:rFonts w:ascii="Times New Roman" w:hAnsi="Times New Roman" w:cs="Times New Roman"/>
                <w:sz w:val="24"/>
                <w:szCs w:val="24"/>
              </w:rPr>
              <w:lastRenderedPageBreak/>
              <w:t>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w:t>
            </w:r>
            <w:r>
              <w:rPr>
                <w:rFonts w:ascii="Times New Roman" w:hAnsi="Times New Roman" w:cs="Times New Roman"/>
                <w:sz w:val="24"/>
                <w:szCs w:val="24"/>
              </w:rPr>
              <w:lastRenderedPageBreak/>
              <w:t>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lastRenderedPageBreak/>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7</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8451B2">
              <w:rPr>
                <w:rFonts w:ascii="Times New Roman" w:hAnsi="Times New Roman"/>
              </w:rPr>
              <w:lastRenderedPageBreak/>
              <w:t xml:space="preserve">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lastRenderedPageBreak/>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на бумажном </w:t>
            </w:r>
            <w:proofErr w:type="gramStart"/>
            <w:r w:rsidRPr="00174EBC">
              <w:rPr>
                <w:rFonts w:ascii="Times New Roman" w:hAnsi="Times New Roman"/>
              </w:rPr>
              <w:t>носителе</w:t>
            </w:r>
            <w:proofErr w:type="gramEnd"/>
            <w:r w:rsidRPr="00174EBC">
              <w:rPr>
                <w:rFonts w:ascii="Times New Roman" w:hAnsi="Times New Roman"/>
              </w:rPr>
              <w:t xml:space="preserve">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lastRenderedPageBreak/>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w:t>
            </w:r>
            <w:proofErr w:type="gramStart"/>
            <w:r w:rsidRPr="003244D6">
              <w:rPr>
                <w:rFonts w:ascii="Times New Roman" w:eastAsia="Tahoma" w:hAnsi="Times New Roman"/>
                <w:bCs/>
                <w:lang w:bidi="ru-RU"/>
              </w:rPr>
              <w:t>носителе</w:t>
            </w:r>
            <w:proofErr w:type="gramEnd"/>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 xml:space="preserve">на бумажном </w:t>
            </w:r>
            <w:proofErr w:type="gramStart"/>
            <w:r w:rsidRPr="003244D6">
              <w:rPr>
                <w:rFonts w:ascii="Times New Roman" w:eastAsia="Tahoma" w:hAnsi="Times New Roman"/>
                <w:bCs/>
                <w:lang w:bidi="ru-RU"/>
              </w:rPr>
              <w:t>носителе</w:t>
            </w:r>
            <w:proofErr w:type="gramEnd"/>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BD1" w:rsidRDefault="00293BD1" w:rsidP="009476CE">
      <w:r>
        <w:separator/>
      </w:r>
    </w:p>
  </w:endnote>
  <w:endnote w:type="continuationSeparator" w:id="0">
    <w:p w:rsidR="00293BD1" w:rsidRDefault="00293BD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043B9B" w:rsidRDefault="00043B9B">
        <w:pPr>
          <w:pStyle w:val="ab"/>
          <w:jc w:val="center"/>
        </w:pPr>
        <w:r>
          <w:fldChar w:fldCharType="begin"/>
        </w:r>
        <w:r>
          <w:instrText>PAGE   \* MERGEFORMAT</w:instrText>
        </w:r>
        <w:r>
          <w:fldChar w:fldCharType="separate"/>
        </w:r>
        <w:r w:rsidR="00F61DD4">
          <w:rPr>
            <w:noProof/>
          </w:rPr>
          <w:t>2</w:t>
        </w:r>
        <w:r>
          <w:fldChar w:fldCharType="end"/>
        </w:r>
      </w:p>
    </w:sdtContent>
  </w:sdt>
  <w:p w:rsidR="00043B9B" w:rsidRDefault="00043B9B">
    <w:pPr>
      <w:pStyle w:val="ab"/>
    </w:pPr>
  </w:p>
  <w:p w:rsidR="00043B9B" w:rsidRDefault="00043B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043B9B" w:rsidRDefault="00043B9B">
        <w:pPr>
          <w:pStyle w:val="ab"/>
          <w:jc w:val="center"/>
        </w:pPr>
        <w:r>
          <w:fldChar w:fldCharType="begin"/>
        </w:r>
        <w:r>
          <w:instrText>PAGE   \* MERGEFORMAT</w:instrText>
        </w:r>
        <w:r>
          <w:fldChar w:fldCharType="separate"/>
        </w:r>
        <w:r w:rsidR="00F61DD4">
          <w:rPr>
            <w:noProof/>
          </w:rPr>
          <w:t>1</w:t>
        </w:r>
        <w:r>
          <w:fldChar w:fldCharType="end"/>
        </w:r>
      </w:p>
    </w:sdtContent>
  </w:sdt>
  <w:p w:rsidR="00043B9B" w:rsidRDefault="00043B9B">
    <w:pPr>
      <w:pStyle w:val="ab"/>
    </w:pPr>
  </w:p>
  <w:p w:rsidR="00043B9B" w:rsidRDefault="00043B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BD1" w:rsidRDefault="00293BD1" w:rsidP="009476CE">
      <w:r>
        <w:separator/>
      </w:r>
    </w:p>
  </w:footnote>
  <w:footnote w:type="continuationSeparator" w:id="0">
    <w:p w:rsidR="00293BD1" w:rsidRDefault="00293BD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043B9B" w:rsidRDefault="00043B9B">
        <w:pPr>
          <w:pStyle w:val="a9"/>
          <w:jc w:val="center"/>
        </w:pPr>
        <w:r>
          <w:fldChar w:fldCharType="begin"/>
        </w:r>
        <w:r>
          <w:instrText>PAGE   \* MERGEFORMAT</w:instrText>
        </w:r>
        <w:r>
          <w:fldChar w:fldCharType="separate"/>
        </w:r>
        <w:r w:rsidR="00F61DD4">
          <w:rPr>
            <w:noProof/>
          </w:rPr>
          <w:t>2</w:t>
        </w:r>
        <w:r>
          <w:fldChar w:fldCharType="end"/>
        </w:r>
      </w:p>
    </w:sdtContent>
  </w:sdt>
  <w:p w:rsidR="00043B9B" w:rsidRDefault="00043B9B">
    <w:pPr>
      <w:pStyle w:val="a9"/>
    </w:pPr>
  </w:p>
  <w:p w:rsidR="00043B9B" w:rsidRDefault="00043B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043B9B" w:rsidRDefault="00043B9B">
        <w:pPr>
          <w:pStyle w:val="a9"/>
          <w:jc w:val="center"/>
        </w:pPr>
        <w:r>
          <w:fldChar w:fldCharType="begin"/>
        </w:r>
        <w:r>
          <w:instrText>PAGE   \* MERGEFORMAT</w:instrText>
        </w:r>
        <w:r>
          <w:fldChar w:fldCharType="separate"/>
        </w:r>
        <w:r w:rsidR="00F61DD4">
          <w:rPr>
            <w:noProof/>
          </w:rPr>
          <w:t>1</w:t>
        </w:r>
        <w:r>
          <w:fldChar w:fldCharType="end"/>
        </w:r>
      </w:p>
    </w:sdtContent>
  </w:sdt>
  <w:p w:rsidR="00043B9B" w:rsidRDefault="00043B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3B9B"/>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015B"/>
    <w:rsid w:val="000D2663"/>
    <w:rsid w:val="000D2B1A"/>
    <w:rsid w:val="000D3175"/>
    <w:rsid w:val="000D66F1"/>
    <w:rsid w:val="000D7B11"/>
    <w:rsid w:val="000E072B"/>
    <w:rsid w:val="000E1896"/>
    <w:rsid w:val="000E491F"/>
    <w:rsid w:val="000F24BC"/>
    <w:rsid w:val="000F436D"/>
    <w:rsid w:val="000F57B2"/>
    <w:rsid w:val="000F6A3D"/>
    <w:rsid w:val="000F6D04"/>
    <w:rsid w:val="000F796A"/>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3BD1"/>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3C8"/>
    <w:rsid w:val="00525E65"/>
    <w:rsid w:val="0052604E"/>
    <w:rsid w:val="00535AF2"/>
    <w:rsid w:val="00535BA1"/>
    <w:rsid w:val="00540DD8"/>
    <w:rsid w:val="0054167C"/>
    <w:rsid w:val="00542C63"/>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40"/>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0F51"/>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6C65"/>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4B9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24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07D8C"/>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C7795"/>
    <w:rsid w:val="00ED0C31"/>
    <w:rsid w:val="00ED7F80"/>
    <w:rsid w:val="00EE32F4"/>
    <w:rsid w:val="00EE47F5"/>
    <w:rsid w:val="00EE7F5A"/>
    <w:rsid w:val="00EF0395"/>
    <w:rsid w:val="00EF2054"/>
    <w:rsid w:val="00EF495D"/>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1DD4"/>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4DF3"/>
    <w:rsid w:val="00F958AE"/>
    <w:rsid w:val="00F96FE3"/>
    <w:rsid w:val="00F97205"/>
    <w:rsid w:val="00FA0423"/>
    <w:rsid w:val="00FA1C97"/>
    <w:rsid w:val="00FA3110"/>
    <w:rsid w:val="00FA5A39"/>
    <w:rsid w:val="00FA6DFB"/>
    <w:rsid w:val="00FA7427"/>
    <w:rsid w:val="00FA797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novotroickoe-r20.gosweb.gosuslugi.ru/ofitsialno/munitsipalnye-uslugi/reglamenty/"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2B81-9BC2-4879-B3C0-59EDF057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23124</Words>
  <Characters>131808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2023-06-13T07:59:00Z</cp:lastPrinted>
  <dcterms:created xsi:type="dcterms:W3CDTF">2024-03-13T07:34:00Z</dcterms:created>
  <dcterms:modified xsi:type="dcterms:W3CDTF">2024-03-13T08:27:00Z</dcterms:modified>
</cp:coreProperties>
</file>